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-1070610</wp:posOffset>
            </wp:positionH>
            <wp:positionV relativeFrom="line">
              <wp:posOffset>-4445</wp:posOffset>
            </wp:positionV>
            <wp:extent cx="7550150" cy="144399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sz w:val="48"/>
          <w:szCs w:val="48"/>
        </w:rPr>
        <w:t>Plano de Ação da Regional Sul - 2016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>Coordenador: Caetano Carlos Bonchristiani</w:t>
      </w:r>
    </w:p>
    <w:p>
      <w:pPr>
        <w:pStyle w:val="style0"/>
        <w:jc w:val="center"/>
      </w:pPr>
      <w:r>
        <w:rPr/>
        <w:t>Vice-Coordenador: Álvaro Pereira de Souza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 xml:space="preserve">Janeiro 2016 </w:t>
      </w:r>
    </w:p>
    <w:p>
      <w:pPr>
        <w:pStyle w:val="style42"/>
        <w:pageBreakBefore/>
        <w:numPr>
          <w:ilvl w:val="0"/>
          <w:numId w:val="2"/>
        </w:numPr>
        <w:tabs>
          <w:tab w:leader="none" w:pos="12195" w:val="center"/>
        </w:tabs>
      </w:pPr>
      <w:r>
        <w:rPr>
          <w:b/>
          <w:sz w:val="28"/>
          <w:szCs w:val="28"/>
        </w:rPr>
        <w:t>Membros</w:t>
      </w:r>
    </w:p>
    <w:p>
      <w:pPr>
        <w:pStyle w:val="style42"/>
        <w:tabs>
          <w:tab w:leader="none" w:pos="12195" w:val="center"/>
        </w:tabs>
      </w:pPr>
      <w:r>
        <w:rPr/>
      </w:r>
    </w:p>
    <w:p>
      <w:pPr>
        <w:pStyle w:val="style42"/>
        <w:tabs>
          <w:tab w:leader="none" w:pos="12195" w:val="center"/>
        </w:tabs>
      </w:pPr>
      <w:r>
        <w:rPr/>
      </w:r>
    </w:p>
    <w:p>
      <w:pPr>
        <w:pStyle w:val="style42"/>
        <w:tabs>
          <w:tab w:leader="none" w:pos="12195" w:val="center"/>
        </w:tabs>
        <w:jc w:val="center"/>
      </w:pPr>
      <w:r>
        <w:rPr/>
      </w:r>
    </w:p>
    <w:p>
      <w:pPr>
        <w:pStyle w:val="style42"/>
        <w:tabs>
          <w:tab w:leader="none" w:pos="12195" w:val="center"/>
        </w:tabs>
      </w:pPr>
      <w:r>
        <w:rPr/>
      </w:r>
    </w:p>
    <w:tbl>
      <w:tblPr>
        <w:jc w:val="left"/>
        <w:tblInd w:type="dxa" w:w="-816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2806"/>
        <w:gridCol w:w="1715"/>
        <w:gridCol w:w="4174"/>
      </w:tblGrid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Nome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Instituição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ind w:hanging="0" w:left="0" w:right="-408"/>
              <w:contextualSpacing w:val="false"/>
              <w:jc w:val="center"/>
            </w:pPr>
            <w:r>
              <w:rPr>
                <w:b/>
              </w:rPr>
              <w:t>Função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Álvaro Pereira de Souza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UFPR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Superintendente de Infraestrutura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Antonio Carlos de Freitas Cleff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UFPEL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Antonio Carlos Montezuma Brito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UFSC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Antonio Cezar Bornia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UFSC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Planejamento e Orçamento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Anna Cecília Amaral Petrassi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UFSC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Pró-Reitora Adjunta de Planejamento e Orçamento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Ario Zimmermann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UFRGS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Planejamento 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Caetano Carlos Bonchristiani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UNILA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Planejamento, Orçamento e Finanças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/>
              <w:t>Charles Albino Schultz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UFFS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Pró-Reitor de Planejamento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/>
              <w:t>Edelvino Razzolini Filho</w:t>
            </w:r>
          </w:p>
        </w:tc>
        <w:tc>
          <w:tcPr>
            <w:tcW w:type="dxa" w:w="171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UFPR</w:t>
            </w:r>
          </w:p>
        </w:tc>
        <w:tc>
          <w:tcPr>
            <w:tcW w:type="dxa" w:w="4174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Evelton Machado Ferreira</w:t>
            </w:r>
          </w:p>
        </w:tc>
        <w:tc>
          <w:tcPr>
            <w:tcW w:type="dxa" w:w="171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UNIPAMPA</w:t>
            </w:r>
          </w:p>
        </w:tc>
        <w:tc>
          <w:tcPr>
            <w:tcW w:type="dxa" w:w="4174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bookmarkStart w:id="0" w:name="__DdeLink__569_1154958999"/>
            <w:bookmarkEnd w:id="0"/>
            <w:r>
              <w:rPr>
                <w:rFonts w:ascii="Calibri" w:hAnsi="Calibri"/>
                <w:lang w:eastAsia="pt-BR"/>
              </w:rPr>
              <w:t>Pró-Reitor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Fábio Lisboa Gaspar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UFCSPA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Frank Leonardo Casado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UFSM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Planejamento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Isabel Bohrer Scherer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UFSM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Pró-Reitora Adjunta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Joeder Campos Soares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UFSM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Adjunto de Planejamento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José Carlos Segalla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UFSM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Liane Nanci Rotta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200" w:before="0"/>
              <w:ind w:hanging="0" w:left="0" w:right="213"/>
              <w:contextualSpacing w:val="false"/>
            </w:pPr>
            <w:r>
              <w:rPr>
                <w:rFonts w:ascii="Calibri" w:hAnsi="Calibri"/>
                <w:lang w:eastAsia="pt-BR"/>
              </w:rPr>
              <w:t>UFCSPA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Pró-Reitora de Planejamento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Lucia Maria Loch Góes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UFSC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Pró-Reitora Adjunta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Lucia Regina A. Montanhini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UFPR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Pró-Reitora de Planejamento, Orçamento e Finanças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Luís Roberto da Silva Macedo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UFRGS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Vice Pró-Reitor de Planejamento 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Luiz Marcos de Oliveira Silva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UNILA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Administração, Gestão e Infraestrutura</w:t>
            </w:r>
          </w:p>
        </w:tc>
      </w:tr>
      <w:tr>
        <w:trPr>
          <w:trHeight w:hRule="atLeast" w:val="1210"/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Luiz Osorio Rocha dos Santos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UFPEL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Planejamento e Desenvolvimento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Mozart Tavares Martins Filho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FURG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Planejamento 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Paulo Roberto Ienzura Adriano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UTFPR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  <w:jc w:val="left"/>
            </w:pPr>
            <w:r>
              <w:rPr>
                <w:rFonts w:ascii="Calibri" w:hAnsi="Calibri"/>
                <w:lang w:eastAsia="pt-BR"/>
              </w:rPr>
              <w:t>Assessor de Planejamento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Péricles Luiz Brustolin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UFFS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Sandroney Fochesatto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UTFPR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 de Planejamento e Administração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Luis Hamilton Tarragô Junior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UNIPAMPA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Pró-Reitora de Planejamento, Desenvolvimento e Avaliação</w:t>
            </w:r>
          </w:p>
        </w:tc>
      </w:tr>
      <w:tr>
        <w:trPr>
          <w:cantSplit w:val="false"/>
        </w:trPr>
        <w:tc>
          <w:tcPr>
            <w:tcW w:type="dxa" w:w="28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ind w:hanging="0" w:left="162" w:right="5"/>
              <w:contextualSpacing w:val="false"/>
            </w:pPr>
            <w:r>
              <w:rPr>
                <w:rFonts w:ascii="Calibri" w:hAnsi="Calibri"/>
                <w:lang w:eastAsia="pt-BR"/>
              </w:rPr>
              <w:t>Vilson Ongaratto</w:t>
            </w:r>
          </w:p>
        </w:tc>
        <w:tc>
          <w:tcPr>
            <w:tcW w:type="dxa" w:w="17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UTFPR</w:t>
            </w:r>
          </w:p>
        </w:tc>
        <w:tc>
          <w:tcPr>
            <w:tcW w:type="dxa" w:w="41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Calibri" w:hAnsi="Calibri"/>
                <w:lang w:eastAsia="pt-BR"/>
              </w:rPr>
              <w:t>Assessor Desenvolvimento Institucional</w:t>
            </w:r>
          </w:p>
        </w:tc>
      </w:tr>
    </w:tbl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  <w:numPr>
          <w:ilvl w:val="0"/>
          <w:numId w:val="2"/>
        </w:numPr>
      </w:pPr>
      <w:r>
        <w:rPr>
          <w:b/>
          <w:sz w:val="28"/>
          <w:szCs w:val="28"/>
        </w:rPr>
        <w:t>Ações Alinhadas ao Planejamento da Coordenação Nacional</w:t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tbl>
      <w:tblPr>
        <w:jc w:val="left"/>
        <w:tblInd w:type="dxa" w:w="-816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2214"/>
        <w:gridCol w:w="2054"/>
        <w:gridCol w:w="2042"/>
        <w:gridCol w:w="1463"/>
        <w:gridCol w:w="1441"/>
      </w:tblGrid>
      <w:tr>
        <w:trPr>
          <w:cantSplit w:val="false"/>
        </w:trPr>
        <w:tc>
          <w:tcPr>
            <w:tcW w:type="dxa" w:w="22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Ação da Nacional</w:t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Ação da Regional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Responsável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Prazo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O que ocorreu</w:t>
            </w:r>
          </w:p>
        </w:tc>
      </w:tr>
      <w:tr>
        <w:trPr>
          <w:trHeight w:hRule="atLeast" w:val="461"/>
          <w:cantSplit w:val="false"/>
        </w:trPr>
        <w:tc>
          <w:tcPr>
            <w:tcW w:type="dxa" w:w="22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 xml:space="preserve">Ampliar a contribuição das regionais (elaborar plano de gestão de cada regional). </w:t>
            </w:r>
          </w:p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 xml:space="preserve">Elaborar plano de gestão 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lang w:eastAsia="pt-BR"/>
              </w:rPr>
              <w:t>Todos os membros da Regional Sul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Contínuo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460"/>
          <w:cantSplit w:val="false"/>
        </w:trPr>
        <w:tc>
          <w:tcPr>
            <w:tcW w:type="dxa" w:w="221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Sugerir e/ou levar temas para as reuniões do Pleno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lang w:eastAsia="pt-BR"/>
              </w:rPr>
              <w:t>Todos os membros da Regional Sul</w:t>
            </w:r>
            <w:r>
              <w:rPr/>
              <w:t xml:space="preserve"> 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Contínuo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460"/>
          <w:cantSplit w:val="false"/>
        </w:trPr>
        <w:tc>
          <w:tcPr>
            <w:tcW w:type="dxa" w:w="221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Aumentar a participação nos Grupos de trabalhos (Comissão de Administração, Modelos, Planejamento e Avaliação)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>
                <w:lang w:eastAsia="pt-BR"/>
              </w:rPr>
              <w:t>Todos os membros da Regional Sul</w:t>
            </w:r>
            <w:r>
              <w:rPr/>
              <w:t xml:space="preserve"> 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Contínuo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460"/>
          <w:cantSplit w:val="false"/>
        </w:trPr>
        <w:tc>
          <w:tcPr>
            <w:tcW w:type="dxa" w:w="221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Avaliar o Plano de Gestão e fazer realinhamento ao da Coordenação Nacional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Coordenador/Vice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Contínuo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>Manter atualizado o site do FORPLAD</w:t>
            </w:r>
          </w:p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Alimentar e Manter dados referentes aos membros e ações da Regional Sul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Coordenador/Vice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 xml:space="preserve">Continuo 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Aprimorar documentos FORPLAD (atas, registro de ações, entre outros)</w:t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>Elaborar documentos da Regional Sul(Padronização)</w:t>
            </w:r>
          </w:p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Coordenador/Vice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Contínuo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</w:tr>
      <w:tr>
        <w:trPr>
          <w:trHeight w:hRule="atLeast" w:val="1956"/>
          <w:cantSplit w:val="false"/>
        </w:trPr>
        <w:tc>
          <w:tcPr>
            <w:tcW w:type="dxa" w:w="22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Levantar dados “históricos” do FORPLAD (Coordenadores, documentos, entre outros).</w:t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>Contribuir com o levantamento dos “históricos” do FORPLAD</w:t>
            </w:r>
          </w:p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Todos os membros da Regional Sul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Dez/2015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Diagnosticar quais são os problemas comuns e apresentar plano de ação para criação de mecanismos que minimizem problemas de gestão comuns entre as IFES.</w:t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>Contribuir com as Comissões no levantamento dos  problemas comuns</w:t>
            </w:r>
          </w:p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Todos os membros da Regional Sul.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contínuo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>Debater Regime Diferenciado de Contratação-RDC</w:t>
            </w:r>
          </w:p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>
                <w:lang w:eastAsia="pt-BR"/>
              </w:rPr>
              <w:t>Debater Regime Diferenciado de Contratação-RDC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Todos os membros da Regional Sul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Jul/2015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 xml:space="preserve">    </w:t>
            </w:r>
          </w:p>
        </w:tc>
      </w:tr>
      <w:tr>
        <w:trPr>
          <w:cantSplit w:val="false"/>
        </w:trPr>
        <w:tc>
          <w:tcPr>
            <w:tcW w:type="dxa" w:w="22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>Debater Autonomia–Lei Orgânica das Universidades Federais</w:t>
            </w:r>
          </w:p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20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false"/>
            </w:pPr>
            <w:r>
              <w:rPr>
                <w:lang w:eastAsia="pt-BR"/>
              </w:rPr>
              <w:t>Debater Autonomia –Lei Orgânica das Universidades Federais</w:t>
            </w:r>
          </w:p>
          <w:p>
            <w:pPr>
              <w:pStyle w:val="style0"/>
              <w:suppressAutoHyphens w:val="false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 xml:space="preserve">Todos os membros da Regional Sul  </w:t>
            </w:r>
          </w:p>
        </w:tc>
        <w:tc>
          <w:tcPr>
            <w:tcW w:type="dxa" w:w="14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  <w:t>Dez/2015</w:t>
            </w:r>
          </w:p>
        </w:tc>
        <w:tc>
          <w:tcPr>
            <w:tcW w:type="dxa" w:w="14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</w:tbl>
    <w:p>
      <w:pPr>
        <w:pStyle w:val="style0"/>
        <w:spacing w:after="0" w:before="0"/>
        <w:contextualSpacing w:val="false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</w:pPr>
      <w:r>
        <w:rPr/>
      </w:r>
    </w:p>
    <w:p>
      <w:pPr>
        <w:pStyle w:val="style42"/>
        <w:numPr>
          <w:ilvl w:val="0"/>
          <w:numId w:val="2"/>
        </w:numPr>
      </w:pPr>
      <w:r>
        <w:rPr>
          <w:b/>
          <w:sz w:val="28"/>
          <w:szCs w:val="28"/>
        </w:rPr>
        <w:t>Ações Específicas da Regional Sul</w:t>
      </w:r>
    </w:p>
    <w:p>
      <w:pPr>
        <w:pStyle w:val="style0"/>
      </w:pPr>
      <w:r>
        <w:rPr/>
      </w:r>
    </w:p>
    <w:tbl>
      <w:tblPr>
        <w:jc w:val="left"/>
        <w:tblInd w:type="dxa" w:w="-816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3160"/>
        <w:gridCol w:w="1696"/>
        <w:gridCol w:w="1696"/>
        <w:gridCol w:w="2704"/>
      </w:tblGrid>
      <w:tr>
        <w:trPr>
          <w:cantSplit w:val="false"/>
        </w:trPr>
        <w:tc>
          <w:tcPr>
            <w:tcW w:type="dxa" w:w="3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 xml:space="preserve">Ação </w:t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Responsável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Prazo</w:t>
            </w:r>
          </w:p>
        </w:tc>
        <w:tc>
          <w:tcPr>
            <w:tcW w:type="dxa" w:w="27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b/>
              </w:rPr>
              <w:t>O que ocorreu</w:t>
            </w:r>
          </w:p>
        </w:tc>
      </w:tr>
      <w:tr>
        <w:trPr>
          <w:cantSplit w:val="false"/>
        </w:trPr>
        <w:tc>
          <w:tcPr>
            <w:tcW w:type="dxa" w:w="3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Elaboração, Acompanhamento e Revisão do Plano de Gestão da Regional Sul em conformidade com as ações da Coordenação Nacional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Todos os Membros da Regional Sul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Contínuo</w:t>
            </w:r>
          </w:p>
        </w:tc>
        <w:tc>
          <w:tcPr>
            <w:tcW w:type="dxa" w:w="27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Fórum de Boas Práticas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Todos os Membros da Regional Sul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Contínuo</w:t>
            </w:r>
          </w:p>
        </w:tc>
        <w:tc>
          <w:tcPr>
            <w:tcW w:type="dxa" w:w="27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Apresentação: Gestão Multicampi/PROBEN-Gestão de redução de energia.</w:t>
            </w:r>
          </w:p>
        </w:tc>
      </w:tr>
      <w:tr>
        <w:trPr>
          <w:cantSplit w:val="false"/>
        </w:trPr>
        <w:tc>
          <w:tcPr>
            <w:tcW w:type="dxa" w:w="3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Debater tema: papel auditoria, mecanismos de controle interno para as atividades de ensino, pesquisa e extensão nas IFES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  <w:t>Todos os Membros da Regional Sul</w:t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  <w:t>Dez/2016</w:t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bookmarkStart w:id="1" w:name="_GoBack"/>
            <w:bookmarkStart w:id="2" w:name="_GoBack"/>
            <w:bookmarkEnd w:id="2"/>
            <w:r>
              <w:rPr/>
            </w:r>
          </w:p>
        </w:tc>
        <w:tc>
          <w:tcPr>
            <w:tcW w:type="dxa" w:w="27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color w:val="00000A"/>
              </w:rPr>
              <w:t>Tema para próxima Regional</w:t>
            </w:r>
          </w:p>
        </w:tc>
      </w:tr>
      <w:tr>
        <w:trPr>
          <w:trHeight w:hRule="atLeast" w:val="2115"/>
          <w:cantSplit w:val="false"/>
        </w:trPr>
        <w:tc>
          <w:tcPr>
            <w:tcW w:type="dxa" w:w="3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Gerenciamento da lista e comunicação FORPLAD Regional Sul</w:t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(alinhada a nacional)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  <w:t>Coordenação Regional</w:t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Contínuo</w:t>
            </w:r>
          </w:p>
        </w:tc>
        <w:tc>
          <w:tcPr>
            <w:tcW w:type="dxa" w:w="27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  <w:t xml:space="preserve">Atualização site FORPLAD </w:t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Participação conjunta com as comissões temáticas de Administração, Modelos e Planejamento e Avaliação na elaboração de estudos específicos em conformidade com a Coordenação Nacional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Todos os Membros da Regional Sul</w:t>
            </w:r>
          </w:p>
        </w:tc>
        <w:tc>
          <w:tcPr>
            <w:tcW w:type="dxa" w:w="1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  <w:t>Contínuo</w:t>
            </w:r>
          </w:p>
        </w:tc>
        <w:tc>
          <w:tcPr>
            <w:tcW w:type="dxa" w:w="27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ind w:hanging="0" w:left="720" w:right="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widowControl/>
        <w:tabs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tabs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0"/>
        <w:widowControl/>
        <w:tabs/>
        <w:suppressAutoHyphens w:val="true"/>
        <w:spacing w:after="200" w:before="0" w:line="276" w:lineRule="auto"/>
        <w:contextualSpacing w:val="false"/>
      </w:pPr>
      <w:r>
        <w:rPr/>
      </w:r>
    </w:p>
    <w:p>
      <w:pPr>
        <w:pStyle w:val="style30"/>
        <w:widowControl/>
        <w:tabs/>
        <w:suppressAutoHyphens w:val="true"/>
        <w:spacing w:after="200" w:before="0" w:line="276" w:lineRule="auto"/>
        <w:contextualSpacing w:val="false"/>
        <w:jc w:val="center"/>
      </w:pPr>
      <w:r>
        <w:rPr>
          <w:rStyle w:val="style28"/>
          <w:u w:val="single"/>
        </w:rPr>
        <w:t>REUNIÕES REGIONAIS REALIZADAS - 2015</w:t>
      </w:r>
    </w:p>
    <w:p>
      <w:pPr>
        <w:pStyle w:val="style30"/>
        <w:jc w:val="center"/>
      </w:pPr>
      <w:r>
        <w:rPr>
          <w:rStyle w:val="style28"/>
        </w:rPr>
        <w:t>1ª Reunião da Regional Su</w:t>
      </w:r>
      <w:r>
        <w:rPr/>
        <w:t xml:space="preserve">l </w:t>
      </w:r>
      <w:r>
        <w:rPr>
          <w:rStyle w:val="style28"/>
        </w:rPr>
        <w:t>- Florianópolis/SC - 3 de março de 2015 - UFSC</w:t>
      </w:r>
    </w:p>
    <w:p>
      <w:pPr>
        <w:pStyle w:val="style30"/>
        <w:jc w:val="center"/>
      </w:pPr>
      <w:r>
        <w:rPr>
          <w:rStyle w:val="style28"/>
        </w:rPr>
        <w:t>2ª Reunião da Regional Sul - Foz do Iguaçu/PR - 15 de maio de 2015 - UNILA</w:t>
      </w:r>
    </w:p>
    <w:p>
      <w:pPr>
        <w:pStyle w:val="style30"/>
        <w:jc w:val="center"/>
      </w:pPr>
      <w:r>
        <w:rPr>
          <w:rStyle w:val="style28"/>
        </w:rPr>
        <w:t>3ª Reunião da Regional Sul - Curitiba/PR - 19 de agosto de 2015 - UFPR</w:t>
      </w:r>
    </w:p>
    <w:p>
      <w:pPr>
        <w:pStyle w:val="style30"/>
        <w:widowControl/>
        <w:tabs/>
        <w:suppressAutoHyphens w:val="true"/>
        <w:spacing w:after="200" w:before="0" w:line="276" w:lineRule="auto"/>
        <w:contextualSpacing w:val="false"/>
        <w:jc w:val="center"/>
      </w:pPr>
      <w:r>
        <w:rPr>
          <w:rStyle w:val="style28"/>
        </w:rPr>
        <w:t>4ª Reunião da Regional Sul - Foz do Iguaçu/PR - 22 de outubro de 2015 – UNILA</w:t>
      </w:r>
    </w:p>
    <w:p>
      <w:pPr>
        <w:pStyle w:val="style30"/>
        <w:widowControl/>
        <w:tabs/>
        <w:suppressAutoHyphens w:val="true"/>
        <w:spacing w:after="200" w:before="0" w:line="276" w:lineRule="auto"/>
        <w:contextualSpacing w:val="false"/>
        <w:jc w:val="center"/>
      </w:pPr>
      <w:r>
        <w:rPr/>
      </w:r>
    </w:p>
    <w:p>
      <w:pPr>
        <w:pStyle w:val="style30"/>
        <w:widowControl/>
        <w:tabs/>
        <w:suppressAutoHyphens w:val="true"/>
        <w:spacing w:after="200" w:before="0" w:line="276" w:lineRule="auto"/>
        <w:contextualSpacing w:val="false"/>
        <w:jc w:val="center"/>
      </w:pPr>
      <w:r>
        <w:rPr>
          <w:rStyle w:val="style28"/>
          <w:u w:val="single"/>
        </w:rPr>
        <w:t>AÇÕES ESPECÍFICAS  2016</w:t>
      </w:r>
    </w:p>
    <w:p>
      <w:pPr>
        <w:pStyle w:val="style30"/>
        <w:widowControl/>
        <w:tabs/>
        <w:suppressAutoHyphens w:val="true"/>
        <w:spacing w:after="200" w:before="0" w:line="276" w:lineRule="auto"/>
        <w:contextualSpacing w:val="false"/>
        <w:jc w:val="center"/>
      </w:pPr>
      <w:r>
        <w:rPr/>
      </w:r>
    </w:p>
    <w:p>
      <w:pPr>
        <w:pStyle w:val="style30"/>
        <w:widowControl/>
        <w:tabs/>
        <w:suppressAutoHyphens w:val="true"/>
        <w:spacing w:after="200" w:before="0" w:line="276" w:lineRule="auto"/>
        <w:contextualSpacing w:val="false"/>
        <w:jc w:val="center"/>
      </w:pPr>
      <w:r>
        <w:rPr>
          <w:rStyle w:val="style28"/>
          <w:u w:val="single"/>
        </w:rPr>
        <w:t>Objetivos Específicos</w:t>
      </w:r>
    </w:p>
    <w:p>
      <w:pPr>
        <w:pStyle w:val="style30"/>
        <w:widowControl/>
        <w:tabs/>
        <w:suppressAutoHyphens w:val="true"/>
        <w:spacing w:after="200" w:before="0" w:line="276" w:lineRule="auto"/>
        <w:contextualSpacing w:val="false"/>
        <w:jc w:val="center"/>
      </w:pPr>
      <w:r>
        <w:rPr/>
      </w:r>
    </w:p>
    <w:p>
      <w:pPr>
        <w:pStyle w:val="style0"/>
        <w:spacing w:line="360" w:lineRule="auto"/>
        <w:jc w:val="both"/>
      </w:pPr>
      <w:r>
        <w:rPr>
          <w:b w:val="false"/>
          <w:bCs w:val="false"/>
        </w:rPr>
        <w:t xml:space="preserve">- </w:t>
      </w:r>
      <w:r>
        <w:rPr>
          <w:b/>
          <w:bCs/>
          <w:u w:val="single"/>
        </w:rPr>
        <w:t>Propor estudos</w:t>
      </w:r>
      <w:r>
        <w:rPr>
          <w:b w:val="false"/>
          <w:bCs w:val="false"/>
        </w:rPr>
        <w:t xml:space="preserve"> sobre problemas comuns das IFES da Regional Sul com o objeto de subsidiar a Coordenação Nacional, conforme ações internas (estruturais) relacionadas em seu Plano de Gestão.</w:t>
      </w:r>
    </w:p>
    <w:p>
      <w:pPr>
        <w:pStyle w:val="style0"/>
        <w:spacing w:line="360" w:lineRule="auto"/>
        <w:jc w:val="both"/>
      </w:pPr>
      <w:r>
        <w:rPr>
          <w:b w:val="false"/>
          <w:bCs w:val="false"/>
        </w:rPr>
        <w:t>- Participar conjuntamente com as comissões temáticas de Administração, Modelos e Planejamento e Avaliação e regionais na elaboração de estudos específicos em conformidade com a Coordenação Nacional.</w:t>
      </w:r>
    </w:p>
    <w:p>
      <w:pPr>
        <w:pStyle w:val="style0"/>
        <w:spacing w:line="360" w:lineRule="auto"/>
        <w:jc w:val="both"/>
      </w:pPr>
      <w:r>
        <w:rPr>
          <w:b w:val="false"/>
          <w:bCs w:val="false"/>
        </w:rPr>
        <w:t>- Criar formatação padrão para apresentação das práticas de gestão e inserção na CASOTECA.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center"/>
      </w:pPr>
      <w:r>
        <w:rPr>
          <w:b w:val="false"/>
          <w:bCs w:val="false"/>
          <w:u w:val="single"/>
        </w:rPr>
        <w:t>Temas propostos</w:t>
      </w:r>
      <w:r>
        <w:rPr>
          <w:b w:val="false"/>
          <w:bCs w:val="false"/>
          <w:u w:val="none"/>
        </w:rPr>
        <w:t xml:space="preserve">  - Terceirização, Energia Elétrica, Importação, Transportes, Restaurante Universitário, Manutenção predial/equipamentos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  <w:u w:val="single"/>
        </w:rPr>
        <w:t>OBJETIVOS ESTRATÉGICOS (2016 / 201</w:t>
      </w:r>
      <w:r>
        <w:rPr>
          <w:b/>
          <w:bCs/>
          <w:u w:val="single"/>
        </w:rPr>
        <w:t>7</w:t>
      </w:r>
      <w:r>
        <w:rPr>
          <w:b/>
          <w:bCs/>
          <w:u w:val="single"/>
        </w:rPr>
        <w:t>)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widowControl/>
        <w:tabs/>
        <w:suppressAutoHyphens w:val="true"/>
        <w:spacing w:after="200" w:before="0" w:line="360" w:lineRule="auto"/>
        <w:contextualSpacing w:val="false"/>
        <w:jc w:val="both"/>
      </w:pPr>
      <w:bookmarkStart w:id="3" w:name="__DdeLink__523_824668964"/>
      <w:r>
        <w:rPr>
          <w:rStyle w:val="style28"/>
          <w:b w:val="false"/>
          <w:bCs w:val="false"/>
          <w:u w:val="none"/>
        </w:rPr>
        <w:t>- Elaborar, Acompanhar e Revisar o Plano de Ação</w:t>
      </w:r>
      <w:bookmarkEnd w:id="3"/>
      <w:r>
        <w:rPr>
          <w:rStyle w:val="style28"/>
          <w:b w:val="false"/>
          <w:bCs w:val="false"/>
          <w:u w:val="none"/>
        </w:rPr>
        <w:t xml:space="preserve"> da Regional Sul em conformidade com as ações da Coordenação Nacional e propostas da regional.</w:t>
      </w:r>
    </w:p>
    <w:sectPr>
      <w:headerReference r:id="rId3" w:type="default"/>
      <w:footerReference r:id="rId4" w:type="default"/>
      <w:type w:val="nextPage"/>
      <w:pgSz w:h="16838" w:w="11906"/>
      <w:pgMar w:bottom="907" w:footer="0" w:gutter="0" w:header="0" w:left="1701" w:right="1701" w:top="733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8"/>
      <w:suppressLineNumbers/>
      <w:tabs>
        <w:tab w:leader="none" w:pos="4252" w:val="center"/>
        <w:tab w:leader="none" w:pos="8504" w:val="right"/>
      </w:tabs>
      <w:suppressAutoHyphens w:val="false"/>
      <w:spacing w:after="200" w:before="0"/>
      <w:contextualSpacing w:val="false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</w:pPr>
    <w:r>
      <w:rPr/>
    </w:r>
  </w:p>
  <w:p>
    <w:pPr>
      <w:pStyle w:val="style37"/>
    </w:pPr>
    <w:r>
      <w:rPr/>
    </w:r>
  </w:p>
  <w:p>
    <w:pPr>
      <w:pStyle w:val="style37"/>
      <w:suppressLineNumbers/>
      <w:tabs>
        <w:tab w:leader="none" w:pos="4252" w:val="center"/>
        <w:tab w:leader="none" w:pos="8504" w:val="right"/>
      </w:tabs>
      <w:suppressAutoHyphens w:val="false"/>
      <w:spacing w:after="200" w:before="0"/>
      <w:contextualSpacing w:val="false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2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30"/>
    <w:pPr>
      <w:keepNext/>
      <w:numPr>
        <w:ilvl w:val="0"/>
        <w:numId w:val="1"/>
      </w:numPr>
      <w:spacing w:after="60" w:before="240"/>
      <w:contextualSpacing w:val="false"/>
      <w:outlineLvl w:val="0"/>
    </w:pPr>
    <w:rPr>
      <w:rFonts w:ascii="Arial" w:hAnsi="Arial"/>
      <w:b/>
      <w:bCs/>
      <w:sz w:val="32"/>
      <w:szCs w:val="32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next w:val="style18"/>
    <w:rPr>
      <w:rFonts w:ascii="Tahoma" w:cs="Tahoma" w:hAnsi="Tahoma"/>
      <w:sz w:val="16"/>
      <w:szCs w:val="16"/>
    </w:rPr>
  </w:style>
  <w:style w:styleId="style19" w:type="character">
    <w:name w:val="object"/>
    <w:basedOn w:val="style15"/>
    <w:next w:val="style19"/>
    <w:rPr/>
  </w:style>
  <w:style w:styleId="style20" w:type="character">
    <w:name w:val="Link da Internet"/>
    <w:next w:val="style20"/>
    <w:rPr>
      <w:color w:val="0000FF"/>
      <w:u w:val="single"/>
      <w:lang w:bidi="pt-BR" w:eastAsia="pt-BR" w:val="pt-BR"/>
    </w:rPr>
  </w:style>
  <w:style w:styleId="style21" w:type="character">
    <w:name w:val="Corpo de texto Char"/>
    <w:next w:val="style21"/>
    <w:rPr>
      <w:rFonts w:ascii="Times New Roman" w:cs="Times New Roman" w:eastAsia="Times New Roman" w:hAnsi="Times New Roman"/>
      <w:sz w:val="24"/>
      <w:szCs w:val="24"/>
      <w:lang w:eastAsia="ar-SA"/>
    </w:rPr>
  </w:style>
  <w:style w:styleId="style22" w:type="character">
    <w:name w:val="Corpo de texto 3 Char"/>
    <w:next w:val="style22"/>
    <w:rPr>
      <w:rFonts w:ascii="Times New Roman" w:cs="Times New Roman" w:eastAsia="Times New Roman" w:hAnsi="Times New Roman"/>
      <w:sz w:val="16"/>
      <w:szCs w:val="16"/>
      <w:lang w:eastAsia="ar-SA"/>
    </w:rPr>
  </w:style>
  <w:style w:styleId="style23" w:type="character">
    <w:name w:val="Recuo de corpo de texto Char"/>
    <w:next w:val="style23"/>
    <w:rPr>
      <w:rFonts w:ascii="Times New Roman" w:cs="Times New Roman" w:eastAsia="Times New Roman" w:hAnsi="Times New Roman"/>
      <w:sz w:val="24"/>
      <w:szCs w:val="24"/>
      <w:lang w:eastAsia="ar-SA"/>
    </w:rPr>
  </w:style>
  <w:style w:styleId="style24" w:type="character">
    <w:name w:val="apple-style-span"/>
    <w:basedOn w:val="style15"/>
    <w:next w:val="style24"/>
    <w:rPr/>
  </w:style>
  <w:style w:styleId="style25" w:type="character">
    <w:name w:val="Título 1 Char"/>
    <w:next w:val="style25"/>
    <w:rPr>
      <w:rFonts w:ascii="Arial" w:cs="Arial" w:eastAsia="Times New Roman" w:hAnsi="Arial"/>
      <w:b/>
      <w:bCs/>
      <w:sz w:val="32"/>
      <w:szCs w:val="32"/>
      <w:lang w:eastAsia="ar-SA"/>
    </w:rPr>
  </w:style>
  <w:style w:styleId="style26" w:type="character">
    <w:name w:val="ListLabel 1"/>
    <w:next w:val="style26"/>
    <w:rPr>
      <w:rFonts w:cs="Courier New"/>
    </w:rPr>
  </w:style>
  <w:style w:styleId="style27" w:type="character">
    <w:name w:val="ListLabel 2"/>
    <w:next w:val="style27"/>
    <w:rPr>
      <w:b w:val="false"/>
      <w:i w:val="false"/>
      <w:sz w:val="28"/>
    </w:rPr>
  </w:style>
  <w:style w:styleId="style28" w:type="character">
    <w:name w:val="Ênfase forte"/>
    <w:next w:val="style28"/>
    <w:rPr>
      <w:b/>
      <w:bCs/>
    </w:rPr>
  </w:style>
  <w:style w:styleId="style29" w:type="paragraph">
    <w:name w:val="Título"/>
    <w:basedOn w:val="style0"/>
    <w:next w:val="style3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0" w:type="paragraph">
    <w:name w:val="Corpo de texto"/>
    <w:basedOn w:val="style0"/>
    <w:next w:val="style30"/>
    <w:pPr>
      <w:spacing w:after="120" w:before="0"/>
      <w:contextualSpacing w:val="false"/>
    </w:pPr>
    <w:rPr/>
  </w:style>
  <w:style w:styleId="style31" w:type="paragraph">
    <w:name w:val="Lista"/>
    <w:basedOn w:val="style30"/>
    <w:next w:val="style31"/>
    <w:pPr/>
    <w:rPr>
      <w:rFonts w:cs="Mangal"/>
    </w:rPr>
  </w:style>
  <w:style w:styleId="style32" w:type="paragraph">
    <w:name w:val="Legenda"/>
    <w:basedOn w:val="style0"/>
    <w:next w:val="style3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3" w:type="paragraph">
    <w:name w:val="Índice"/>
    <w:basedOn w:val="style0"/>
    <w:next w:val="style33"/>
    <w:pPr>
      <w:suppressLineNumbers/>
    </w:pPr>
    <w:rPr>
      <w:rFonts w:cs="Mangal"/>
    </w:rPr>
  </w:style>
  <w:style w:styleId="style34" w:type="paragraph">
    <w:name w:val="Título principal"/>
    <w:basedOn w:val="style0"/>
    <w:next w:val="style35"/>
    <w:pPr>
      <w:keepNext/>
      <w:spacing w:after="120" w:before="240"/>
      <w:contextualSpacing w:val="false"/>
      <w:jc w:val="center"/>
    </w:pPr>
    <w:rPr>
      <w:rFonts w:ascii="Arial" w:cs="Mangal" w:eastAsia="Microsoft YaHei" w:hAnsi="Arial"/>
      <w:b/>
      <w:bCs/>
      <w:sz w:val="28"/>
      <w:szCs w:val="28"/>
    </w:rPr>
  </w:style>
  <w:style w:styleId="style35" w:type="paragraph">
    <w:name w:val="Subtítulo"/>
    <w:basedOn w:val="style34"/>
    <w:next w:val="style30"/>
    <w:pPr>
      <w:jc w:val="center"/>
    </w:pPr>
    <w:rPr>
      <w:i/>
      <w:iCs/>
      <w:sz w:val="28"/>
      <w:szCs w:val="28"/>
    </w:rPr>
  </w:style>
  <w:style w:styleId="style36" w:type="paragraph">
    <w:name w:val="caption"/>
    <w:basedOn w:val="style0"/>
    <w:next w:val="style36"/>
    <w:pPr>
      <w:suppressLineNumbers/>
      <w:spacing w:after="120" w:before="120"/>
      <w:contextualSpacing w:val="false"/>
    </w:pPr>
    <w:rPr>
      <w:rFonts w:cs="Mangal"/>
      <w:i/>
      <w:iCs/>
    </w:rPr>
  </w:style>
  <w:style w:styleId="style37" w:type="paragraph">
    <w:name w:val="Cabeçalho"/>
    <w:basedOn w:val="style0"/>
    <w:next w:val="style37"/>
    <w:pPr>
      <w:suppressLineNumbers/>
      <w:tabs>
        <w:tab w:leader="none" w:pos="4252" w:val="center"/>
        <w:tab w:leader="none" w:pos="8504" w:val="right"/>
      </w:tabs>
      <w:suppressAutoHyphens w:val="false"/>
    </w:pPr>
    <w:rPr>
      <w:rFonts w:ascii="Calibri" w:eastAsia="Calibri" w:hAnsi="Calibri"/>
      <w:sz w:val="22"/>
      <w:szCs w:val="22"/>
      <w:lang w:eastAsia="en-US"/>
    </w:rPr>
  </w:style>
  <w:style w:styleId="style38" w:type="paragraph">
    <w:name w:val="Rodapé"/>
    <w:basedOn w:val="style0"/>
    <w:next w:val="style38"/>
    <w:pPr>
      <w:suppressLineNumbers/>
      <w:tabs>
        <w:tab w:leader="none" w:pos="4252" w:val="center"/>
        <w:tab w:leader="none" w:pos="8504" w:val="right"/>
      </w:tabs>
      <w:suppressAutoHyphens w:val="false"/>
    </w:pPr>
    <w:rPr>
      <w:rFonts w:ascii="Calibri" w:eastAsia="Calibri" w:hAnsi="Calibri"/>
      <w:sz w:val="22"/>
      <w:szCs w:val="22"/>
      <w:lang w:eastAsia="en-US"/>
    </w:rPr>
  </w:style>
  <w:style w:styleId="style39" w:type="paragraph">
    <w:name w:val="Balloon Text"/>
    <w:basedOn w:val="style0"/>
    <w:next w:val="style39"/>
    <w:pPr>
      <w:suppressAutoHyphens w:val="false"/>
    </w:pPr>
    <w:rPr>
      <w:rFonts w:ascii="Tahoma" w:eastAsia="Calibri" w:hAnsi="Tahoma"/>
      <w:sz w:val="16"/>
      <w:szCs w:val="16"/>
    </w:rPr>
  </w:style>
  <w:style w:styleId="style40" w:type="paragraph">
    <w:name w:val="Body Text 3"/>
    <w:basedOn w:val="style0"/>
    <w:next w:val="style40"/>
    <w:pPr>
      <w:spacing w:after="120" w:before="0"/>
      <w:contextualSpacing w:val="false"/>
    </w:pPr>
    <w:rPr>
      <w:sz w:val="16"/>
      <w:szCs w:val="16"/>
    </w:rPr>
  </w:style>
  <w:style w:styleId="style41" w:type="paragraph">
    <w:name w:val="Corpo de texto recuado"/>
    <w:basedOn w:val="style0"/>
    <w:next w:val="style41"/>
    <w:pPr>
      <w:spacing w:after="120" w:before="0"/>
      <w:ind w:hanging="0" w:left="283" w:right="0"/>
      <w:contextualSpacing w:val="false"/>
    </w:pPr>
    <w:rPr/>
  </w:style>
  <w:style w:styleId="style42" w:type="paragraph">
    <w:name w:val="List Paragraph"/>
    <w:basedOn w:val="style0"/>
    <w:next w:val="style42"/>
    <w:pPr>
      <w:spacing w:after="0" w:before="0"/>
      <w:ind w:hanging="0" w:left="720" w:right="0"/>
      <w:contextualSpacing/>
    </w:pPr>
    <w:rPr/>
  </w:style>
  <w:style w:styleId="style43" w:type="paragraph">
    <w:name w:val="x_msonormal"/>
    <w:basedOn w:val="style0"/>
    <w:next w:val="style43"/>
    <w:pPr>
      <w:suppressAutoHyphens w:val="false"/>
      <w:spacing w:after="28" w:before="28"/>
      <w:contextualSpacing w:val="false"/>
    </w:pPr>
    <w:rPr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Application>LibreOffice/3.6$Windows_x86 LibreOffice_project/da8c1e6-fd468f4-454e206-f42a4a9-143cfd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2014-12-11T12:58:00.00Z</dcterms:created>
  <dc:creator>proplan-p049646</dc:creator>
  <cp:lastModifiedBy>UTFPR</cp:lastModifiedBy>
  <cp:lastPrinted>2016-01-29T09:53:12.20Z</cp:lastPrinted>
  <dcterms:modified xsi:type="dcterms:W3CDTF">2015-05-15T19:32:00.00Z</dcterms:modified>
  <cp:revision>53</cp:revision>
</cp:coreProperties>
</file>